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173" w:rsidRPr="00927300" w:rsidRDefault="00FE4173" w:rsidP="00FE4173">
      <w:pPr>
        <w:pStyle w:val="Titulo2"/>
        <w:jc w:val="center"/>
        <w:rPr>
          <w:lang w:val="ca-ES"/>
        </w:rPr>
      </w:pPr>
      <w:r w:rsidRPr="00927300">
        <w:rPr>
          <w:lang w:val="ca-ES"/>
        </w:rPr>
        <w:t>Llista de comprovació per avaluar una argumentació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  <w:gridCol w:w="567"/>
      </w:tblGrid>
      <w:tr w:rsidR="00FE4173" w:rsidRPr="00927300" w:rsidTr="007B60A2">
        <w:trPr>
          <w:trHeight w:val="227"/>
        </w:trPr>
        <w:tc>
          <w:tcPr>
            <w:tcW w:w="9072" w:type="dxa"/>
            <w:tcBorders>
              <w:bottom w:val="nil"/>
            </w:tcBorders>
            <w:shd w:val="clear" w:color="auto" w:fill="D9D9D9" w:themeFill="background1" w:themeFillShade="D9"/>
          </w:tcPr>
          <w:p w:rsidR="00FE4173" w:rsidRPr="00927300" w:rsidRDefault="00FE4173" w:rsidP="007B60A2">
            <w:pPr>
              <w:pStyle w:val="Textoindependiente"/>
              <w:jc w:val="right"/>
              <w:rPr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Dades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FE4173" w:rsidRPr="00927300" w:rsidRDefault="00FE4173" w:rsidP="007B60A2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927300">
              <w:rPr>
                <w:rFonts w:ascii="MS Gothic" w:eastAsia="MS Gothic" w:hAnsi="MS Gothic" w:cs="MS Gothic"/>
                <w:sz w:val="20"/>
                <w:szCs w:val="20"/>
              </w:rPr>
              <w:t>✓</w:t>
            </w: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S'aporten dades en diferents </w:t>
            </w:r>
            <w:r w:rsidRPr="00927300">
              <w:rPr>
                <w:b/>
                <w:sz w:val="18"/>
                <w:szCs w:val="18"/>
              </w:rPr>
              <w:t>formats i orígens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Les dades són </w:t>
            </w:r>
            <w:r w:rsidRPr="00927300">
              <w:rPr>
                <w:b/>
                <w:sz w:val="18"/>
                <w:szCs w:val="18"/>
              </w:rPr>
              <w:t>comprovables empíricament</w:t>
            </w:r>
            <w:r w:rsidRPr="00927300">
              <w:rPr>
                <w:sz w:val="18"/>
                <w:szCs w:val="18"/>
              </w:rPr>
              <w:t xml:space="preserve"> i no depenen de l'observador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Les dades són </w:t>
            </w:r>
            <w:r w:rsidRPr="00927300">
              <w:rPr>
                <w:b/>
                <w:sz w:val="18"/>
                <w:szCs w:val="18"/>
              </w:rPr>
              <w:t>fiables</w:t>
            </w:r>
            <w:r w:rsidRPr="00927300">
              <w:rPr>
                <w:sz w:val="18"/>
                <w:szCs w:val="18"/>
              </w:rPr>
              <w:t xml:space="preserve"> (hi ha diferents mesures sense variacions)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Les dades estan descrites de forma </w:t>
            </w:r>
            <w:r w:rsidRPr="00927300">
              <w:rPr>
                <w:b/>
                <w:sz w:val="18"/>
                <w:szCs w:val="18"/>
              </w:rPr>
              <w:t>precisa, pertinent i exhaustiva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E4173" w:rsidRPr="00927300" w:rsidRDefault="00FE4173" w:rsidP="007B60A2">
            <w:pPr>
              <w:pStyle w:val="Textoindependiente"/>
              <w:tabs>
                <w:tab w:val="left" w:pos="3573"/>
              </w:tabs>
              <w:spacing w:after="0"/>
              <w:jc w:val="right"/>
              <w:rPr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Garantia o Justificació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Les dades són </w:t>
            </w:r>
            <w:r w:rsidRPr="00927300">
              <w:rPr>
                <w:b/>
                <w:sz w:val="18"/>
                <w:szCs w:val="18"/>
              </w:rPr>
              <w:t>específiques</w:t>
            </w:r>
            <w:r w:rsidRPr="00927300">
              <w:rPr>
                <w:sz w:val="18"/>
                <w:szCs w:val="18"/>
              </w:rPr>
              <w:t xml:space="preserve"> com a prova de la conclusió (indiquen aquesta conclusió i no una altra)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Les dades són </w:t>
            </w:r>
            <w:r w:rsidRPr="00927300">
              <w:rPr>
                <w:b/>
                <w:sz w:val="18"/>
                <w:szCs w:val="18"/>
              </w:rPr>
              <w:t>suficients</w:t>
            </w:r>
            <w:r w:rsidRPr="00927300">
              <w:rPr>
                <w:sz w:val="18"/>
                <w:szCs w:val="18"/>
              </w:rPr>
              <w:t xml:space="preserve"> com a prova de la conclusió (No necessiten ser complementades)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tabs>
                <w:tab w:val="left" w:pos="6265"/>
              </w:tabs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Les dades s'ofereixen completa, i no de forma esbiaixada per afavorir la conclusió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Les proves són independents unes de les altres (no s'assenta l'acceptació d'una en l'acceptació d'una altra en cadena)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E4173" w:rsidRPr="00927300" w:rsidRDefault="00FE4173" w:rsidP="007B60A2">
            <w:pPr>
              <w:pStyle w:val="Textoindependiente"/>
              <w:tabs>
                <w:tab w:val="left" w:pos="3573"/>
              </w:tabs>
              <w:spacing w:after="0"/>
              <w:jc w:val="right"/>
              <w:rPr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Fonamentació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El suport és </w:t>
            </w:r>
            <w:r w:rsidRPr="00927300">
              <w:rPr>
                <w:b/>
                <w:sz w:val="18"/>
                <w:szCs w:val="18"/>
              </w:rPr>
              <w:t>acceptat i consensuat</w:t>
            </w:r>
            <w:r w:rsidRPr="00927300">
              <w:rPr>
                <w:sz w:val="18"/>
                <w:szCs w:val="18"/>
              </w:rPr>
              <w:t xml:space="preserve"> per la comunitat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El suport no és controvertit </w:t>
            </w:r>
            <w:r w:rsidRPr="00927300">
              <w:rPr>
                <w:b/>
                <w:sz w:val="18"/>
                <w:szCs w:val="18"/>
              </w:rPr>
              <w:t>ni es basa en les dades</w:t>
            </w:r>
            <w:r w:rsidRPr="00927300">
              <w:rPr>
                <w:sz w:val="18"/>
                <w:szCs w:val="18"/>
              </w:rPr>
              <w:t xml:space="preserve"> que s'aporten (tautologia)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E4173" w:rsidRPr="00927300" w:rsidRDefault="00FE4173" w:rsidP="007B60A2">
            <w:pPr>
              <w:pStyle w:val="Textoindependiente"/>
              <w:tabs>
                <w:tab w:val="left" w:pos="3573"/>
              </w:tabs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Conclusió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És </w:t>
            </w:r>
            <w:r w:rsidRPr="00927300">
              <w:rPr>
                <w:b/>
                <w:sz w:val="18"/>
                <w:szCs w:val="18"/>
              </w:rPr>
              <w:t>una afirmació o negació clara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No hi ha altres</w:t>
            </w:r>
            <w:r w:rsidRPr="00927300">
              <w:rPr>
                <w:sz w:val="18"/>
                <w:szCs w:val="18"/>
              </w:rPr>
              <w:t xml:space="preserve"> conclusions possibles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E4173" w:rsidRPr="00927300" w:rsidRDefault="00FE4173" w:rsidP="007B60A2">
            <w:pPr>
              <w:pStyle w:val="Textoindependiente"/>
              <w:tabs>
                <w:tab w:val="left" w:pos="3573"/>
              </w:tabs>
              <w:spacing w:after="0"/>
              <w:jc w:val="right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Qualificadors Modals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Enumera les variables que afecten la</w:t>
            </w:r>
            <w:r w:rsidRPr="00927300">
              <w:rPr>
                <w:b/>
                <w:sz w:val="18"/>
                <w:szCs w:val="18"/>
              </w:rPr>
              <w:t xml:space="preserve"> certesa</w:t>
            </w:r>
            <w:r w:rsidRPr="00927300">
              <w:rPr>
                <w:sz w:val="18"/>
                <w:szCs w:val="18"/>
              </w:rPr>
              <w:t xml:space="preserve"> de la conclusió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Identifica els </w:t>
            </w:r>
            <w:r w:rsidRPr="00927300">
              <w:rPr>
                <w:b/>
                <w:sz w:val="18"/>
                <w:szCs w:val="18"/>
              </w:rPr>
              <w:t>àmbits i rangs</w:t>
            </w:r>
            <w:r w:rsidRPr="00927300">
              <w:rPr>
                <w:sz w:val="18"/>
                <w:szCs w:val="18"/>
              </w:rPr>
              <w:t xml:space="preserve"> en que la conclusió perd validesa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E4173" w:rsidRPr="00927300" w:rsidRDefault="00FE4173" w:rsidP="007B60A2">
            <w:pPr>
              <w:pStyle w:val="Textoindependiente"/>
              <w:tabs>
                <w:tab w:val="left" w:pos="3573"/>
              </w:tabs>
              <w:spacing w:after="0"/>
              <w:jc w:val="right"/>
              <w:rPr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Refutació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S'expliciten </w:t>
            </w:r>
            <w:proofErr w:type="spellStart"/>
            <w:r w:rsidRPr="00927300">
              <w:rPr>
                <w:sz w:val="18"/>
                <w:szCs w:val="18"/>
              </w:rPr>
              <w:t>contraarguments</w:t>
            </w:r>
            <w:proofErr w:type="spellEnd"/>
            <w:r w:rsidRPr="00927300">
              <w:rPr>
                <w:sz w:val="18"/>
                <w:szCs w:val="18"/>
              </w:rPr>
              <w:t xml:space="preserve"> i situacions que negarien la conclusió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E4173" w:rsidRPr="00927300" w:rsidTr="007B60A2">
        <w:trPr>
          <w:trHeight w:val="22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4173" w:rsidRPr="00927300" w:rsidRDefault="00FE4173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S'esmenten les</w:t>
            </w:r>
            <w:r w:rsidRPr="00927300">
              <w:rPr>
                <w:b/>
                <w:sz w:val="18"/>
                <w:szCs w:val="18"/>
              </w:rPr>
              <w:t xml:space="preserve"> limitacions</w:t>
            </w:r>
            <w:r w:rsidRPr="00927300">
              <w:rPr>
                <w:sz w:val="18"/>
                <w:szCs w:val="18"/>
              </w:rPr>
              <w:t xml:space="preserve"> de dades, garantia i fonaments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173" w:rsidRPr="00927300" w:rsidRDefault="00FE4173" w:rsidP="007B60A2">
            <w:pPr>
              <w:pStyle w:val="Textoindependiente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E4173" w:rsidRDefault="00FE4173" w:rsidP="00FE4173">
      <w:pPr>
        <w:rPr>
          <w:b/>
          <w:bCs/>
          <w:sz w:val="18"/>
          <w:szCs w:val="18"/>
        </w:rPr>
      </w:pPr>
    </w:p>
    <w:p w:rsidR="003F2787" w:rsidRDefault="00FE4173" w:rsidP="00FE4173">
      <w:pPr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Llista de comprovació per a la revisió d’Argumentacions. </w:t>
      </w:r>
    </w:p>
    <w:p w:rsidR="003F2787" w:rsidRDefault="003F2787" w:rsidP="00FE4173">
      <w:pPr>
        <w:rPr>
          <w:bCs/>
          <w:sz w:val="18"/>
          <w:szCs w:val="18"/>
        </w:rPr>
      </w:pPr>
    </w:p>
    <w:p w:rsidR="003F2787" w:rsidRPr="00927300" w:rsidRDefault="003F2787" w:rsidP="003F2787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3F2787" w:rsidRPr="00927300" w:rsidRDefault="003F2787" w:rsidP="003F2787">
      <w:pPr>
        <w:pStyle w:val="Prrafodelista"/>
        <w:numPr>
          <w:ilvl w:val="0"/>
          <w:numId w:val="23"/>
        </w:numPr>
        <w:tabs>
          <w:tab w:val="left" w:pos="2141"/>
        </w:tabs>
        <w:ind w:left="714" w:hanging="357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Usar-com a suport per a l'avaluació de proves prèvia a un debat.</w:t>
      </w:r>
    </w:p>
    <w:p w:rsidR="003F2787" w:rsidRPr="00927300" w:rsidRDefault="003F2787" w:rsidP="003F2787">
      <w:pPr>
        <w:pStyle w:val="Textoindependiente"/>
        <w:numPr>
          <w:ilvl w:val="0"/>
          <w:numId w:val="23"/>
        </w:numPr>
        <w:spacing w:after="0"/>
        <w:ind w:left="714" w:hanging="357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Dos equips avaluen respectivament les proves que aporta l'altre amb ajuda de l'organitzador gràfic.</w:t>
      </w:r>
    </w:p>
    <w:p w:rsidR="003F2787" w:rsidRPr="00145C77" w:rsidRDefault="003F2787" w:rsidP="003F2787">
      <w:pPr>
        <w:pStyle w:val="Textoindependiente"/>
        <w:numPr>
          <w:ilvl w:val="0"/>
          <w:numId w:val="23"/>
        </w:numPr>
        <w:spacing w:after="0"/>
        <w:ind w:left="714" w:hanging="357"/>
      </w:pPr>
      <w:r w:rsidRPr="00FE4173">
        <w:rPr>
          <w:bCs/>
          <w:sz w:val="18"/>
          <w:szCs w:val="18"/>
        </w:rPr>
        <w:t>Usar-com a eina d'anàlisi del Discurs de Conclusions d'articles o textos d'Història de la Ciència.</w:t>
      </w:r>
    </w:p>
    <w:p w:rsidR="003F2787" w:rsidRDefault="003F2787" w:rsidP="00FE4173">
      <w:pPr>
        <w:rPr>
          <w:bCs/>
          <w:sz w:val="18"/>
          <w:szCs w:val="18"/>
        </w:rPr>
      </w:pPr>
    </w:p>
    <w:p w:rsidR="003F2787" w:rsidRDefault="003F2787" w:rsidP="00FE4173">
      <w:pPr>
        <w:rPr>
          <w:bCs/>
          <w:sz w:val="18"/>
          <w:szCs w:val="18"/>
        </w:rPr>
      </w:pPr>
    </w:p>
    <w:p w:rsidR="003F2787" w:rsidRDefault="003F2787" w:rsidP="00FE4173">
      <w:pPr>
        <w:rPr>
          <w:bCs/>
          <w:sz w:val="18"/>
          <w:szCs w:val="18"/>
        </w:rPr>
      </w:pPr>
    </w:p>
    <w:p w:rsidR="003F2787" w:rsidRDefault="003F2787" w:rsidP="00FE4173">
      <w:pPr>
        <w:rPr>
          <w:bCs/>
          <w:sz w:val="18"/>
          <w:szCs w:val="18"/>
        </w:rPr>
      </w:pPr>
    </w:p>
    <w:p w:rsidR="00FE4173" w:rsidRPr="003F2787" w:rsidRDefault="00FE4173" w:rsidP="00FE4173">
      <w:pPr>
        <w:rPr>
          <w:b/>
          <w:bCs/>
          <w:sz w:val="18"/>
          <w:szCs w:val="18"/>
        </w:rPr>
      </w:pPr>
      <w:r w:rsidRPr="003F2787">
        <w:rPr>
          <w:b/>
          <w:bCs/>
          <w:sz w:val="18"/>
          <w:szCs w:val="18"/>
        </w:rPr>
        <w:lastRenderedPageBreak/>
        <w:t>Publicaci</w:t>
      </w:r>
      <w:r w:rsidR="003F2787" w:rsidRPr="003F2787">
        <w:rPr>
          <w:b/>
          <w:bCs/>
          <w:sz w:val="18"/>
          <w:szCs w:val="18"/>
        </w:rPr>
        <w:t>ons</w:t>
      </w:r>
      <w:r w:rsidRPr="003F2787">
        <w:rPr>
          <w:b/>
          <w:bCs/>
          <w:sz w:val="18"/>
          <w:szCs w:val="18"/>
        </w:rPr>
        <w:t xml:space="preserve"> relacionad</w:t>
      </w:r>
      <w:r w:rsidR="003F2787" w:rsidRPr="003F2787">
        <w:rPr>
          <w:b/>
          <w:bCs/>
          <w:sz w:val="18"/>
          <w:szCs w:val="18"/>
        </w:rPr>
        <w:t>es</w:t>
      </w:r>
      <w:r w:rsidRPr="003F2787">
        <w:rPr>
          <w:b/>
          <w:bCs/>
          <w:sz w:val="18"/>
          <w:szCs w:val="18"/>
        </w:rPr>
        <w:t>:</w:t>
      </w:r>
    </w:p>
    <w:p w:rsidR="00FE4173" w:rsidRPr="00927300" w:rsidRDefault="00FE4173" w:rsidP="00FE4173">
      <w:pPr>
        <w:pStyle w:val="Prrafodelista"/>
        <w:numPr>
          <w:ilvl w:val="0"/>
          <w:numId w:val="22"/>
        </w:numPr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Toulmin</w:t>
      </w:r>
      <w:proofErr w:type="spellEnd"/>
      <w:r w:rsidRPr="00927300">
        <w:rPr>
          <w:bCs/>
          <w:sz w:val="18"/>
          <w:szCs w:val="18"/>
        </w:rPr>
        <w:t xml:space="preserve">, S. (1958).  </w:t>
      </w:r>
      <w:proofErr w:type="spellStart"/>
      <w:r w:rsidRPr="00927300">
        <w:rPr>
          <w:bCs/>
          <w:i/>
          <w:sz w:val="18"/>
          <w:szCs w:val="18"/>
        </w:rPr>
        <w:t>The</w:t>
      </w:r>
      <w:proofErr w:type="spellEnd"/>
      <w:r w:rsidRPr="00927300">
        <w:rPr>
          <w:bCs/>
          <w:i/>
          <w:sz w:val="18"/>
          <w:szCs w:val="18"/>
        </w:rPr>
        <w:t xml:space="preserve"> uses of argument.</w:t>
      </w:r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Cambridge</w:t>
      </w:r>
      <w:proofErr w:type="spellEnd"/>
      <w:r w:rsidRPr="00927300">
        <w:rPr>
          <w:bCs/>
          <w:sz w:val="18"/>
          <w:szCs w:val="18"/>
        </w:rPr>
        <w:t xml:space="preserve">: </w:t>
      </w:r>
      <w:proofErr w:type="spellStart"/>
      <w:r w:rsidRPr="00927300">
        <w:rPr>
          <w:bCs/>
          <w:sz w:val="18"/>
          <w:szCs w:val="18"/>
        </w:rPr>
        <w:t>Cambridge</w:t>
      </w:r>
      <w:proofErr w:type="spellEnd"/>
      <w:r w:rsidRPr="00927300">
        <w:rPr>
          <w:bCs/>
          <w:sz w:val="18"/>
          <w:szCs w:val="18"/>
        </w:rPr>
        <w:t xml:space="preserve"> University </w:t>
      </w:r>
      <w:proofErr w:type="spellStart"/>
      <w:r w:rsidRPr="00927300">
        <w:rPr>
          <w:bCs/>
          <w:sz w:val="18"/>
          <w:szCs w:val="18"/>
        </w:rPr>
        <w:t>Press</w:t>
      </w:r>
      <w:proofErr w:type="spellEnd"/>
      <w:r w:rsidRPr="00927300">
        <w:rPr>
          <w:bCs/>
          <w:sz w:val="18"/>
          <w:szCs w:val="18"/>
        </w:rPr>
        <w:t>.</w:t>
      </w:r>
    </w:p>
    <w:p w:rsidR="00FE4173" w:rsidRPr="00927300" w:rsidRDefault="00FE4173" w:rsidP="00FE4173">
      <w:pPr>
        <w:pStyle w:val="Prrafodelista"/>
        <w:numPr>
          <w:ilvl w:val="0"/>
          <w:numId w:val="2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Jiménez-Aleixandre, M.P. (2010). </w:t>
      </w:r>
      <w:r w:rsidRPr="00927300">
        <w:rPr>
          <w:bCs/>
          <w:i/>
          <w:sz w:val="18"/>
          <w:szCs w:val="18"/>
        </w:rPr>
        <w:t xml:space="preserve">10 </w:t>
      </w:r>
      <w:proofErr w:type="spellStart"/>
      <w:r w:rsidRPr="00927300">
        <w:rPr>
          <w:bCs/>
          <w:i/>
          <w:sz w:val="18"/>
          <w:szCs w:val="18"/>
        </w:rPr>
        <w:t>ideas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clave</w:t>
      </w:r>
      <w:proofErr w:type="spellEnd"/>
      <w:r w:rsidRPr="00927300">
        <w:rPr>
          <w:bCs/>
          <w:i/>
          <w:sz w:val="18"/>
          <w:szCs w:val="18"/>
        </w:rPr>
        <w:t xml:space="preserve">. </w:t>
      </w:r>
      <w:proofErr w:type="spellStart"/>
      <w:r w:rsidRPr="00927300">
        <w:rPr>
          <w:bCs/>
          <w:i/>
          <w:sz w:val="18"/>
          <w:szCs w:val="18"/>
        </w:rPr>
        <w:t>Competencias</w:t>
      </w:r>
      <w:proofErr w:type="spellEnd"/>
      <w:r w:rsidRPr="00927300">
        <w:rPr>
          <w:bCs/>
          <w:i/>
          <w:sz w:val="18"/>
          <w:szCs w:val="18"/>
        </w:rPr>
        <w:t xml:space="preserve"> en </w:t>
      </w:r>
      <w:proofErr w:type="spellStart"/>
      <w:r w:rsidRPr="00927300">
        <w:rPr>
          <w:bCs/>
          <w:i/>
          <w:sz w:val="18"/>
          <w:szCs w:val="18"/>
        </w:rPr>
        <w:t>argumentación</w:t>
      </w:r>
      <w:proofErr w:type="spellEnd"/>
      <w:r w:rsidRPr="00927300">
        <w:rPr>
          <w:bCs/>
          <w:i/>
          <w:sz w:val="18"/>
          <w:szCs w:val="18"/>
        </w:rPr>
        <w:t xml:space="preserve"> y uso de </w:t>
      </w:r>
      <w:proofErr w:type="spellStart"/>
      <w:r w:rsidRPr="00927300">
        <w:rPr>
          <w:bCs/>
          <w:i/>
          <w:sz w:val="18"/>
          <w:szCs w:val="18"/>
        </w:rPr>
        <w:t>pruebas</w:t>
      </w:r>
      <w:proofErr w:type="spellEnd"/>
      <w:r w:rsidRPr="00927300">
        <w:rPr>
          <w:bCs/>
          <w:sz w:val="18"/>
          <w:szCs w:val="18"/>
        </w:rPr>
        <w:t>. Barcelona: Graó.</w:t>
      </w:r>
    </w:p>
    <w:p w:rsidR="00FE4173" w:rsidRDefault="00FE4173" w:rsidP="00FE4173">
      <w:pPr>
        <w:pStyle w:val="Prrafodelista"/>
        <w:numPr>
          <w:ilvl w:val="0"/>
          <w:numId w:val="2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Sardà, A., i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, N. (2000). </w:t>
      </w:r>
      <w:proofErr w:type="spellStart"/>
      <w:r w:rsidRPr="00927300">
        <w:rPr>
          <w:bCs/>
          <w:sz w:val="18"/>
          <w:szCs w:val="18"/>
        </w:rPr>
        <w:t>Enseñar</w:t>
      </w:r>
      <w:proofErr w:type="spellEnd"/>
      <w:r w:rsidRPr="00927300">
        <w:rPr>
          <w:bCs/>
          <w:sz w:val="18"/>
          <w:szCs w:val="18"/>
        </w:rPr>
        <w:t xml:space="preserve"> a argumentar </w:t>
      </w:r>
      <w:proofErr w:type="spellStart"/>
      <w:r w:rsidRPr="00927300">
        <w:rPr>
          <w:bCs/>
          <w:sz w:val="18"/>
          <w:szCs w:val="18"/>
        </w:rPr>
        <w:t>científicamente</w:t>
      </w:r>
      <w:proofErr w:type="spellEnd"/>
      <w:r w:rsidRPr="00927300">
        <w:rPr>
          <w:bCs/>
          <w:sz w:val="18"/>
          <w:szCs w:val="18"/>
        </w:rPr>
        <w:t xml:space="preserve">: un reto de las </w:t>
      </w:r>
      <w:proofErr w:type="spellStart"/>
      <w:r w:rsidRPr="00927300">
        <w:rPr>
          <w:bCs/>
          <w:sz w:val="18"/>
          <w:szCs w:val="18"/>
        </w:rPr>
        <w:t>clases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Ciencias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Enseñanza</w:t>
      </w:r>
      <w:proofErr w:type="spellEnd"/>
      <w:r w:rsidRPr="00927300">
        <w:rPr>
          <w:bCs/>
          <w:i/>
          <w:sz w:val="18"/>
          <w:szCs w:val="18"/>
        </w:rPr>
        <w:t xml:space="preserve"> de las </w:t>
      </w:r>
      <w:proofErr w:type="spellStart"/>
      <w:r w:rsidRPr="00927300">
        <w:rPr>
          <w:bCs/>
          <w:i/>
          <w:sz w:val="18"/>
          <w:szCs w:val="18"/>
        </w:rPr>
        <w:t>Ciencias</w:t>
      </w:r>
      <w:proofErr w:type="spellEnd"/>
      <w:r w:rsidRPr="00927300">
        <w:rPr>
          <w:bCs/>
          <w:sz w:val="18"/>
          <w:szCs w:val="18"/>
        </w:rPr>
        <w:t>, 18(3), 405-422.</w:t>
      </w:r>
    </w:p>
    <w:p w:rsidR="003F2787" w:rsidRPr="002B2F54" w:rsidRDefault="003F2787" w:rsidP="003F2787">
      <w:pPr>
        <w:contextualSpacing/>
        <w:rPr>
          <w:b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EB9A9F2" wp14:editId="03B95A98">
            <wp:simplePos x="0" y="0"/>
            <wp:positionH relativeFrom="column">
              <wp:posOffset>4932045</wp:posOffset>
            </wp:positionH>
            <wp:positionV relativeFrom="paragraph">
              <wp:posOffset>74295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787" w:rsidRPr="002B2F54" w:rsidRDefault="003F2787" w:rsidP="003F2787">
      <w:pPr>
        <w:pStyle w:val="Prrafodelista"/>
        <w:numPr>
          <w:ilvl w:val="0"/>
          <w:numId w:val="24"/>
        </w:numPr>
        <w:contextualSpacing/>
        <w:rPr>
          <w:i/>
          <w:sz w:val="18"/>
          <w:szCs w:val="18"/>
        </w:rPr>
      </w:pPr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8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3F2787" w:rsidRPr="00AE1234" w:rsidRDefault="003F2787" w:rsidP="003F2787"/>
    <w:p w:rsidR="003F2787" w:rsidRPr="003F2787" w:rsidRDefault="003F2787" w:rsidP="003F2787">
      <w:pPr>
        <w:contextualSpacing/>
        <w:rPr>
          <w:bCs/>
          <w:sz w:val="18"/>
          <w:szCs w:val="18"/>
        </w:rPr>
      </w:pPr>
    </w:p>
    <w:p w:rsidR="00FE4173" w:rsidRPr="00927300" w:rsidRDefault="00FE4173" w:rsidP="00FE4173">
      <w:pPr>
        <w:pStyle w:val="Prrafodelista"/>
        <w:ind w:left="720"/>
        <w:contextualSpacing/>
        <w:rPr>
          <w:bCs/>
          <w:sz w:val="18"/>
          <w:szCs w:val="18"/>
        </w:rPr>
      </w:pPr>
      <w:bookmarkStart w:id="0" w:name="_GoBack"/>
      <w:bookmarkEnd w:id="0"/>
    </w:p>
    <w:sectPr w:rsidR="00FE4173" w:rsidRPr="00927300" w:rsidSect="00145C77">
      <w:headerReference w:type="default" r:id="rId9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AFB" w:rsidRDefault="00790AFB" w:rsidP="00987E6F">
      <w:r>
        <w:separator/>
      </w:r>
    </w:p>
  </w:endnote>
  <w:endnote w:type="continuationSeparator" w:id="0">
    <w:p w:rsidR="00790AFB" w:rsidRDefault="00790AFB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AFB" w:rsidRDefault="00790AFB" w:rsidP="00987E6F">
      <w:r>
        <w:separator/>
      </w:r>
    </w:p>
  </w:footnote>
  <w:footnote w:type="continuationSeparator" w:id="0">
    <w:p w:rsidR="00790AFB" w:rsidRDefault="00790AFB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21"/>
  </w:num>
  <w:num w:numId="7">
    <w:abstractNumId w:val="12"/>
  </w:num>
  <w:num w:numId="8">
    <w:abstractNumId w:val="8"/>
  </w:num>
  <w:num w:numId="9">
    <w:abstractNumId w:val="22"/>
  </w:num>
  <w:num w:numId="10">
    <w:abstractNumId w:val="2"/>
  </w:num>
  <w:num w:numId="11">
    <w:abstractNumId w:val="23"/>
  </w:num>
  <w:num w:numId="12">
    <w:abstractNumId w:val="18"/>
  </w:num>
  <w:num w:numId="13">
    <w:abstractNumId w:val="15"/>
  </w:num>
  <w:num w:numId="14">
    <w:abstractNumId w:val="13"/>
  </w:num>
  <w:num w:numId="15">
    <w:abstractNumId w:val="5"/>
  </w:num>
  <w:num w:numId="16">
    <w:abstractNumId w:val="20"/>
  </w:num>
  <w:num w:numId="17">
    <w:abstractNumId w:val="3"/>
  </w:num>
  <w:num w:numId="18">
    <w:abstractNumId w:val="4"/>
  </w:num>
  <w:num w:numId="19">
    <w:abstractNumId w:val="6"/>
  </w:num>
  <w:num w:numId="20">
    <w:abstractNumId w:val="17"/>
  </w:num>
  <w:num w:numId="21">
    <w:abstractNumId w:val="14"/>
  </w:num>
  <w:num w:numId="22">
    <w:abstractNumId w:val="9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145C77"/>
    <w:rsid w:val="002B3A46"/>
    <w:rsid w:val="00381F6C"/>
    <w:rsid w:val="003F2787"/>
    <w:rsid w:val="004C2656"/>
    <w:rsid w:val="005716C8"/>
    <w:rsid w:val="006946B9"/>
    <w:rsid w:val="00790AFB"/>
    <w:rsid w:val="007E4DBA"/>
    <w:rsid w:val="008B76D6"/>
    <w:rsid w:val="00987E6F"/>
    <w:rsid w:val="00AE1234"/>
    <w:rsid w:val="00B762E7"/>
    <w:rsid w:val="00C00ADC"/>
    <w:rsid w:val="00CD67EE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628B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2021-03-20T16:07:00Z</cp:lastPrinted>
  <dcterms:created xsi:type="dcterms:W3CDTF">2021-03-20T16:09:00Z</dcterms:created>
  <dcterms:modified xsi:type="dcterms:W3CDTF">2022-10-10T11:27:00Z</dcterms:modified>
</cp:coreProperties>
</file>