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F2" w:rsidRPr="00927300" w:rsidRDefault="00B46AF2" w:rsidP="00B46AF2">
      <w:pPr>
        <w:pStyle w:val="Titulo2"/>
        <w:jc w:val="center"/>
        <w:rPr>
          <w:lang w:val="ca-ES"/>
        </w:rPr>
      </w:pPr>
      <w:r w:rsidRPr="00927300">
        <w:rPr>
          <w:lang w:val="ca-ES"/>
        </w:rPr>
        <w:t>Targetes d’anàlisis de biaixos cognitius</w:t>
      </w:r>
    </w:p>
    <w:p w:rsidR="00B46AF2" w:rsidRPr="00927300" w:rsidRDefault="00B46AF2" w:rsidP="00B46AF2">
      <w:pPr>
        <w:rPr>
          <w:b/>
          <w:bCs/>
          <w:szCs w:val="22"/>
        </w:rPr>
      </w:pPr>
    </w:p>
    <w:tbl>
      <w:tblPr>
        <w:tblStyle w:val="Tablaconcuadrcula"/>
        <w:tblW w:w="0" w:type="auto"/>
        <w:tblBorders>
          <w:top w:val="dashSmallGap" w:sz="12" w:space="0" w:color="808080" w:themeColor="background1" w:themeShade="80"/>
          <w:left w:val="dashSmallGap" w:sz="12" w:space="0" w:color="808080" w:themeColor="background1" w:themeShade="80"/>
          <w:bottom w:val="dashSmallGap" w:sz="12" w:space="0" w:color="808080" w:themeColor="background1" w:themeShade="80"/>
          <w:right w:val="dashSmallGap" w:sz="12" w:space="0" w:color="808080" w:themeColor="background1" w:themeShade="80"/>
          <w:insideH w:val="dashSmallGap" w:sz="12" w:space="0" w:color="808080" w:themeColor="background1" w:themeShade="80"/>
          <w:insideV w:val="dashSmallGap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46AF2" w:rsidRPr="00927300" w:rsidTr="007B60A2">
        <w:tc>
          <w:tcPr>
            <w:tcW w:w="3259" w:type="dxa"/>
          </w:tcPr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  <w:t>BIAIX DE CORRESPONDÈNCIA</w:t>
            </w:r>
          </w:p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Ex: Vaig posar un cristall de quars sota el coixí i se’m va curar el constipat. Fes-ho que segur que et funciona.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Objecció: potser el fet de curar-se el refredat no té res a veure amb el cristall de quars.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Descripció</w:t>
            </w:r>
            <w:r w:rsidRPr="00927300">
              <w:rPr>
                <w:bCs/>
                <w:sz w:val="18"/>
                <w:szCs w:val="18"/>
              </w:rPr>
              <w:t>: Tendència a generalitzar a partir d’un fenomen puntual, enlloc de tenir en compte el conjunt de fenòmens.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59" w:type="dxa"/>
          </w:tcPr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  <w:t>BIAIX RETROSPECTIU</w:t>
            </w:r>
          </w:p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Ex: Es veia a venir que tindríem un increment dels casos de TDAH, amb tanta pantalla.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Objecció: En realitat, en l'aparició de les pantalles de TV o ordinador, res feia pensar en el TDAH i tampoc hi ha cap relació establerta.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Descripció</w:t>
            </w:r>
            <w:r w:rsidRPr="00927300">
              <w:rPr>
                <w:bCs/>
                <w:sz w:val="18"/>
                <w:szCs w:val="18"/>
              </w:rPr>
              <w:t>: És la propensió a percebre els esdeveniments passats com predictibles.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  <w:t>BIAIX DE CONFIRMACIÓ</w:t>
            </w:r>
          </w:p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Ex: No estava segur si aquest suplement alimentari funcionava, però he fet una cerca incloent els termes “</w:t>
            </w:r>
            <w:r>
              <w:rPr>
                <w:bCs/>
                <w:sz w:val="18"/>
                <w:szCs w:val="18"/>
              </w:rPr>
              <w:t>Èxit</w:t>
            </w:r>
            <w:r w:rsidRPr="00927300">
              <w:rPr>
                <w:bCs/>
                <w:sz w:val="18"/>
                <w:szCs w:val="18"/>
              </w:rPr>
              <w:t>” i “Funciona” i la informació que he trobat em confirma que sí que funciona.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Objeccions: potser si haguéssim buscat “Frac</w:t>
            </w:r>
            <w:r>
              <w:rPr>
                <w:bCs/>
                <w:sz w:val="18"/>
                <w:szCs w:val="18"/>
              </w:rPr>
              <w:t>às”</w:t>
            </w:r>
            <w:r w:rsidRPr="00927300">
              <w:rPr>
                <w:bCs/>
                <w:sz w:val="18"/>
                <w:szCs w:val="18"/>
              </w:rPr>
              <w:t xml:space="preserve"> o “No funciona” hauria també sortit,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Descripció</w:t>
            </w:r>
            <w:r w:rsidRPr="00927300">
              <w:rPr>
                <w:bCs/>
                <w:sz w:val="18"/>
                <w:szCs w:val="18"/>
              </w:rPr>
              <w:t xml:space="preserve">: Tendència a esbrinar o interpretar informació que confirma </w:t>
            </w:r>
            <w:proofErr w:type="spellStart"/>
            <w:r w:rsidRPr="00927300">
              <w:rPr>
                <w:bCs/>
                <w:sz w:val="18"/>
                <w:szCs w:val="18"/>
              </w:rPr>
              <w:t>preconcepcions</w:t>
            </w:r>
            <w:proofErr w:type="spellEnd"/>
            <w:r w:rsidRPr="00927300">
              <w:rPr>
                <w:bCs/>
                <w:sz w:val="18"/>
                <w:szCs w:val="18"/>
              </w:rPr>
              <w:t>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46AF2" w:rsidRPr="00927300" w:rsidTr="007B60A2">
        <w:tc>
          <w:tcPr>
            <w:tcW w:w="3259" w:type="dxa"/>
          </w:tcPr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  <w:t>BIAIX D'ATRIBUCIÓ</w:t>
            </w:r>
          </w:p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Ex: Les persones que no s'han curat mitjançant les emocions és perquè no s'hi han dedicat prou. Totes les que s'han esforçat a ser positius s'acaben curant.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Objeccions: Potser s'hi han dedicat igual i nosaltres volem valorar només els casos que van a favor del nostre argument.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Descripció</w:t>
            </w:r>
            <w:r w:rsidRPr="00927300">
              <w:rPr>
                <w:bCs/>
                <w:sz w:val="18"/>
                <w:szCs w:val="18"/>
              </w:rPr>
              <w:t>: Tendència a atribuir més responsabilitat als èxits que als fracassos, o bé quan tendim a interpretar com profitosa per a la pròpia intenció informació ambigua</w:t>
            </w:r>
          </w:p>
        </w:tc>
        <w:tc>
          <w:tcPr>
            <w:tcW w:w="3259" w:type="dxa"/>
          </w:tcPr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  <w:t>BIAIX DEL FALS CONSENS</w:t>
            </w:r>
          </w:p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Ex: No suporto prendre medicaments. A ningú li agrada, la gran majoria de persones no en necessitem, hauríem de limitar-ne el consum.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Objecció: No és cert que a ningú li agradi, Moltes persones els necessiten i no estan d'acord amb això.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Descripció</w:t>
            </w:r>
            <w:r w:rsidRPr="00927300">
              <w:rPr>
                <w:bCs/>
                <w:sz w:val="18"/>
                <w:szCs w:val="18"/>
              </w:rPr>
              <w:t>: tendència a jutjar que les pròpies opinions, creences, valors i costums estan més estesos que els altres.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  <w:t>BIAIX D'EFECTE HALO</w:t>
            </w:r>
          </w:p>
          <w:p w:rsidR="00B46AF2" w:rsidRPr="00927300" w:rsidRDefault="00B46AF2" w:rsidP="007B60A2">
            <w:pPr>
              <w:spacing w:before="120" w:after="120"/>
              <w:jc w:val="center"/>
              <w:rPr>
                <w:rFonts w:cs="Tahoma"/>
                <w:b/>
                <w:bCs/>
                <w:smallCaps/>
                <w:kern w:val="18"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Ex : Aquesta crema m'està anant molt bé per al dolor de cervicals. Me la posaré també a les cames per curar-me les varius.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Cs/>
                <w:sz w:val="18"/>
                <w:szCs w:val="18"/>
              </w:rPr>
              <w:t>Objecció: que la crema funcioni per algunes coses no vol dir que funcioni per a totes.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Descripció</w:t>
            </w:r>
            <w:r w:rsidRPr="00927300">
              <w:rPr>
                <w:bCs/>
                <w:sz w:val="18"/>
                <w:szCs w:val="18"/>
              </w:rPr>
              <w:t>: Es la propensió a generalitzar a partir d'una sola característica.</w:t>
            </w:r>
          </w:p>
          <w:p w:rsidR="00B46AF2" w:rsidRPr="00927300" w:rsidRDefault="00B46AF2" w:rsidP="007B60A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50685" w:rsidRDefault="00750685" w:rsidP="00750685">
      <w:pPr>
        <w:rPr>
          <w:b/>
          <w:bCs/>
          <w:sz w:val="18"/>
          <w:szCs w:val="18"/>
        </w:rPr>
      </w:pPr>
    </w:p>
    <w:p w:rsidR="00B46AF2" w:rsidRPr="00927300" w:rsidRDefault="00B46AF2" w:rsidP="00750685">
      <w:pPr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Targetes amb la definició, exemples de diferents biaixos cognitius.  Elaborades a partir d’una versió prèvia creada pel node “Calamars gegants” del </w:t>
      </w:r>
      <w:proofErr w:type="spellStart"/>
      <w:r w:rsidRPr="00927300">
        <w:rPr>
          <w:bCs/>
          <w:sz w:val="18"/>
          <w:szCs w:val="18"/>
        </w:rPr>
        <w:t>Betacamp</w:t>
      </w:r>
      <w:proofErr w:type="spellEnd"/>
      <w:r w:rsidRPr="00927300">
        <w:rPr>
          <w:bCs/>
          <w:sz w:val="18"/>
          <w:szCs w:val="18"/>
        </w:rPr>
        <w:t xml:space="preserve">. </w:t>
      </w:r>
    </w:p>
    <w:p w:rsidR="00B46AF2" w:rsidRPr="00927300" w:rsidRDefault="00B46AF2" w:rsidP="00B46AF2">
      <w:pPr>
        <w:tabs>
          <w:tab w:val="left" w:pos="1175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ab/>
      </w:r>
    </w:p>
    <w:p w:rsidR="00B46AF2" w:rsidRPr="00927300" w:rsidRDefault="00B46AF2" w:rsidP="00B46AF2">
      <w:pPr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d’aplicació:</w:t>
      </w:r>
    </w:p>
    <w:p w:rsidR="00B46AF2" w:rsidRPr="00927300" w:rsidRDefault="00B46AF2" w:rsidP="00B46AF2">
      <w:pPr>
        <w:pStyle w:val="Prrafodelista"/>
        <w:numPr>
          <w:ilvl w:val="0"/>
          <w:numId w:val="26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Analitzar  en argumentacions elaborades a classe diferents tipus de biaixos, aportant gradualment al llarg d'un curs les diferents targetes.</w:t>
      </w:r>
    </w:p>
    <w:p w:rsidR="00B46AF2" w:rsidRPr="00927300" w:rsidRDefault="00B46AF2" w:rsidP="00B46AF2">
      <w:pPr>
        <w:pStyle w:val="Prrafodelista"/>
        <w:numPr>
          <w:ilvl w:val="0"/>
          <w:numId w:val="26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Usar les targetes com "cartes" de joc en debats a l'aula per identificar i penalitzar els biaixos.</w:t>
      </w:r>
    </w:p>
    <w:p w:rsidR="00B46AF2" w:rsidRPr="00927300" w:rsidRDefault="00B46AF2" w:rsidP="00B46AF2">
      <w:pPr>
        <w:pStyle w:val="Prrafodelista"/>
        <w:numPr>
          <w:ilvl w:val="0"/>
          <w:numId w:val="26"/>
        </w:numPr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Analitzar textos d'història de la ciència i identificar biaixos que en algun moment han tingut un efecte en la creació del coneixement científic.</w:t>
      </w:r>
    </w:p>
    <w:p w:rsidR="00B46AF2" w:rsidRDefault="00750685" w:rsidP="00B46AF2">
      <w:pPr>
        <w:rPr>
          <w:b/>
          <w:bCs/>
          <w:szCs w:val="22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6EDB7FD1" wp14:editId="75C3749A">
            <wp:simplePos x="0" y="0"/>
            <wp:positionH relativeFrom="column">
              <wp:posOffset>5088255</wp:posOffset>
            </wp:positionH>
            <wp:positionV relativeFrom="paragraph">
              <wp:posOffset>89535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0685" w:rsidRPr="006D0EAD" w:rsidRDefault="00750685" w:rsidP="00750685">
      <w:pPr>
        <w:rPr>
          <w:b/>
          <w:bCs/>
          <w:sz w:val="18"/>
          <w:szCs w:val="18"/>
        </w:rPr>
      </w:pPr>
      <w:r w:rsidRPr="006D0EAD">
        <w:rPr>
          <w:b/>
          <w:bCs/>
          <w:sz w:val="18"/>
          <w:szCs w:val="18"/>
        </w:rPr>
        <w:t>Publicaci</w:t>
      </w:r>
      <w:r>
        <w:rPr>
          <w:b/>
          <w:bCs/>
          <w:sz w:val="18"/>
          <w:szCs w:val="18"/>
        </w:rPr>
        <w:t xml:space="preserve">ons </w:t>
      </w:r>
      <w:r w:rsidRPr="006D0EAD">
        <w:rPr>
          <w:b/>
          <w:bCs/>
          <w:sz w:val="18"/>
          <w:szCs w:val="18"/>
        </w:rPr>
        <w:t>relacionad</w:t>
      </w:r>
      <w:r>
        <w:rPr>
          <w:b/>
          <w:bCs/>
          <w:sz w:val="18"/>
          <w:szCs w:val="18"/>
        </w:rPr>
        <w:t>es</w:t>
      </w:r>
      <w:r w:rsidRPr="006D0EAD">
        <w:rPr>
          <w:b/>
          <w:bCs/>
          <w:sz w:val="18"/>
          <w:szCs w:val="18"/>
        </w:rPr>
        <w:t xml:space="preserve">: </w:t>
      </w:r>
    </w:p>
    <w:p w:rsidR="00750685" w:rsidRDefault="00750685" w:rsidP="00750685">
      <w:pPr>
        <w:pStyle w:val="Prrafodelista"/>
        <w:numPr>
          <w:ilvl w:val="0"/>
          <w:numId w:val="26"/>
        </w:numPr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Estrategias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lingüísticas</w:t>
      </w:r>
      <w:proofErr w:type="spellEnd"/>
      <w:r w:rsidRPr="00927300">
        <w:rPr>
          <w:bCs/>
          <w:sz w:val="18"/>
          <w:szCs w:val="18"/>
        </w:rPr>
        <w:t xml:space="preserve"> para el </w:t>
      </w:r>
      <w:proofErr w:type="spellStart"/>
      <w:r w:rsidRPr="00927300">
        <w:rPr>
          <w:bCs/>
          <w:sz w:val="18"/>
          <w:szCs w:val="18"/>
        </w:rPr>
        <w:t>tránsito</w:t>
      </w:r>
      <w:proofErr w:type="spellEnd"/>
      <w:r w:rsidRPr="00927300">
        <w:rPr>
          <w:bCs/>
          <w:sz w:val="18"/>
          <w:szCs w:val="18"/>
        </w:rPr>
        <w:t xml:space="preserve"> a la </w:t>
      </w:r>
      <w:proofErr w:type="spellStart"/>
      <w:r w:rsidRPr="00927300">
        <w:rPr>
          <w:bCs/>
          <w:sz w:val="18"/>
          <w:szCs w:val="18"/>
        </w:rPr>
        <w:t>competencia</w:t>
      </w:r>
      <w:proofErr w:type="spellEnd"/>
      <w:r w:rsidRPr="00927300">
        <w:rPr>
          <w:bCs/>
          <w:sz w:val="18"/>
          <w:szCs w:val="18"/>
        </w:rPr>
        <w:t xml:space="preserve"> científica. </w:t>
      </w:r>
      <w:proofErr w:type="spellStart"/>
      <w:r w:rsidRPr="00927300">
        <w:rPr>
          <w:bCs/>
          <w:sz w:val="18"/>
          <w:szCs w:val="18"/>
        </w:rPr>
        <w:t>Hablar</w:t>
      </w:r>
      <w:proofErr w:type="spellEnd"/>
      <w:r w:rsidRPr="00927300">
        <w:rPr>
          <w:bCs/>
          <w:sz w:val="18"/>
          <w:szCs w:val="18"/>
        </w:rPr>
        <w:t xml:space="preserve"> y </w:t>
      </w:r>
      <w:proofErr w:type="spellStart"/>
      <w:r w:rsidRPr="00927300">
        <w:rPr>
          <w:bCs/>
          <w:sz w:val="18"/>
          <w:szCs w:val="18"/>
        </w:rPr>
        <w:t>escribir</w:t>
      </w:r>
      <w:proofErr w:type="spellEnd"/>
      <w:r w:rsidRPr="00927300">
        <w:rPr>
          <w:bCs/>
          <w:sz w:val="18"/>
          <w:szCs w:val="18"/>
        </w:rPr>
        <w:t xml:space="preserve"> para pensar en el aula de </w:t>
      </w:r>
      <w:proofErr w:type="spellStart"/>
      <w:r w:rsidRPr="00927300">
        <w:rPr>
          <w:bCs/>
          <w:sz w:val="18"/>
          <w:szCs w:val="18"/>
        </w:rPr>
        <w:t>ciencias</w:t>
      </w:r>
      <w:proofErr w:type="spellEnd"/>
      <w:r w:rsidRPr="00927300">
        <w:rPr>
          <w:bCs/>
          <w:i/>
          <w:sz w:val="18"/>
          <w:szCs w:val="18"/>
        </w:rPr>
        <w:t xml:space="preserve">. </w:t>
      </w:r>
      <w:proofErr w:type="spellStart"/>
      <w:r w:rsidRPr="00927300">
        <w:rPr>
          <w:bCs/>
          <w:i/>
          <w:sz w:val="18"/>
          <w:szCs w:val="18"/>
        </w:rPr>
        <w:t>Investigación</w:t>
      </w:r>
      <w:proofErr w:type="spellEnd"/>
      <w:r w:rsidRPr="00927300">
        <w:rPr>
          <w:bCs/>
          <w:i/>
          <w:sz w:val="18"/>
          <w:szCs w:val="18"/>
        </w:rPr>
        <w:t xml:space="preserve"> en la </w:t>
      </w:r>
      <w:proofErr w:type="spellStart"/>
      <w:r w:rsidRPr="00927300">
        <w:rPr>
          <w:bCs/>
          <w:i/>
          <w:sz w:val="18"/>
          <w:szCs w:val="18"/>
        </w:rPr>
        <w:t>escuela</w:t>
      </w:r>
      <w:proofErr w:type="spellEnd"/>
      <w:r w:rsidRPr="00927300">
        <w:rPr>
          <w:bCs/>
          <w:sz w:val="18"/>
          <w:szCs w:val="18"/>
        </w:rPr>
        <w:t xml:space="preserve"> (2019), 97, 50-68. Domènech-Casal, J.</w:t>
      </w:r>
    </w:p>
    <w:p w:rsidR="00750685" w:rsidRPr="002B2F54" w:rsidRDefault="00750685" w:rsidP="00750685">
      <w:pPr>
        <w:contextualSpacing/>
        <w:rPr>
          <w:b/>
          <w:sz w:val="18"/>
          <w:szCs w:val="18"/>
        </w:rPr>
      </w:pPr>
    </w:p>
    <w:p w:rsidR="00B46AF2" w:rsidRPr="00750685" w:rsidRDefault="00750685" w:rsidP="00B46AF2">
      <w:pPr>
        <w:pStyle w:val="Prrafodelista"/>
        <w:widowControl/>
        <w:numPr>
          <w:ilvl w:val="0"/>
          <w:numId w:val="27"/>
        </w:numPr>
        <w:suppressAutoHyphens w:val="0"/>
        <w:contextualSpacing/>
        <w:rPr>
          <w:b/>
          <w:bCs/>
          <w:szCs w:val="22"/>
        </w:rPr>
      </w:pPr>
      <w:proofErr w:type="spellStart"/>
      <w:r w:rsidRPr="00750685">
        <w:rPr>
          <w:i/>
          <w:sz w:val="18"/>
          <w:szCs w:val="18"/>
        </w:rPr>
        <w:t>Mueve</w:t>
      </w:r>
      <w:proofErr w:type="spellEnd"/>
      <w:r w:rsidRPr="00750685">
        <w:rPr>
          <w:i/>
          <w:sz w:val="18"/>
          <w:szCs w:val="18"/>
        </w:rPr>
        <w:t xml:space="preserve"> la </w:t>
      </w:r>
      <w:proofErr w:type="spellStart"/>
      <w:r w:rsidRPr="00750685">
        <w:rPr>
          <w:i/>
          <w:sz w:val="18"/>
          <w:szCs w:val="18"/>
        </w:rPr>
        <w:t>Lengua</w:t>
      </w:r>
      <w:proofErr w:type="spellEnd"/>
      <w:r w:rsidRPr="00750685">
        <w:rPr>
          <w:i/>
          <w:sz w:val="18"/>
          <w:szCs w:val="18"/>
        </w:rPr>
        <w:t xml:space="preserve">, que el </w:t>
      </w:r>
      <w:proofErr w:type="spellStart"/>
      <w:r w:rsidRPr="00750685">
        <w:rPr>
          <w:i/>
          <w:sz w:val="18"/>
          <w:szCs w:val="18"/>
        </w:rPr>
        <w:t>cerebro</w:t>
      </w:r>
      <w:proofErr w:type="spellEnd"/>
      <w:r w:rsidRPr="00750685">
        <w:rPr>
          <w:i/>
          <w:sz w:val="18"/>
          <w:szCs w:val="18"/>
        </w:rPr>
        <w:t xml:space="preserve"> te </w:t>
      </w:r>
      <w:proofErr w:type="spellStart"/>
      <w:r w:rsidRPr="00750685">
        <w:rPr>
          <w:i/>
          <w:sz w:val="18"/>
          <w:szCs w:val="18"/>
        </w:rPr>
        <w:t>seguirá</w:t>
      </w:r>
      <w:proofErr w:type="spellEnd"/>
      <w:r w:rsidRPr="00750685">
        <w:rPr>
          <w:i/>
          <w:sz w:val="18"/>
          <w:szCs w:val="18"/>
        </w:rPr>
        <w:t xml:space="preserve">. 75 acciones </w:t>
      </w:r>
      <w:proofErr w:type="spellStart"/>
      <w:r w:rsidRPr="00750685">
        <w:rPr>
          <w:i/>
          <w:sz w:val="18"/>
          <w:szCs w:val="18"/>
        </w:rPr>
        <w:t>lingüísticas</w:t>
      </w:r>
      <w:proofErr w:type="spellEnd"/>
      <w:r w:rsidRPr="00750685">
        <w:rPr>
          <w:i/>
          <w:sz w:val="18"/>
          <w:szCs w:val="18"/>
        </w:rPr>
        <w:t xml:space="preserve"> para </w:t>
      </w:r>
      <w:proofErr w:type="spellStart"/>
      <w:r w:rsidRPr="00750685">
        <w:rPr>
          <w:i/>
          <w:sz w:val="18"/>
          <w:szCs w:val="18"/>
        </w:rPr>
        <w:t>enseñar</w:t>
      </w:r>
      <w:proofErr w:type="spellEnd"/>
      <w:r w:rsidRPr="00750685">
        <w:rPr>
          <w:i/>
          <w:sz w:val="18"/>
          <w:szCs w:val="18"/>
        </w:rPr>
        <w:t xml:space="preserve"> a pensar </w:t>
      </w:r>
      <w:proofErr w:type="spellStart"/>
      <w:r w:rsidRPr="00750685">
        <w:rPr>
          <w:i/>
          <w:sz w:val="18"/>
          <w:szCs w:val="18"/>
        </w:rPr>
        <w:t>Ciencias</w:t>
      </w:r>
      <w:proofErr w:type="spellEnd"/>
      <w:r w:rsidRPr="00750685">
        <w:rPr>
          <w:i/>
          <w:sz w:val="18"/>
          <w:szCs w:val="18"/>
        </w:rPr>
        <w:t xml:space="preserve">. </w:t>
      </w:r>
      <w:r w:rsidRPr="00750685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750685">
          <w:rPr>
            <w:rStyle w:val="Hipervnculo"/>
            <w:sz w:val="18"/>
            <w:szCs w:val="18"/>
          </w:rPr>
          <w:t>https://wp.me/p25seH-ZR</w:t>
        </w:r>
      </w:hyperlink>
      <w:r w:rsidRPr="00750685">
        <w:rPr>
          <w:sz w:val="18"/>
          <w:szCs w:val="18"/>
        </w:rPr>
        <w:t xml:space="preserve">  </w:t>
      </w:r>
      <w:bookmarkStart w:id="0" w:name="_GoBack"/>
      <w:bookmarkEnd w:id="0"/>
    </w:p>
    <w:p w:rsidR="00FA2DD6" w:rsidRPr="00B46AF2" w:rsidRDefault="00FA2DD6" w:rsidP="00B46AF2"/>
    <w:sectPr w:rsidR="00FA2DD6" w:rsidRPr="00B46AF2" w:rsidSect="00750685">
      <w:headerReference w:type="default" r:id="rId9"/>
      <w:pgSz w:w="11906" w:h="16838"/>
      <w:pgMar w:top="2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758" w:rsidRDefault="00C82758" w:rsidP="00987E6F">
      <w:r>
        <w:separator/>
      </w:r>
    </w:p>
  </w:endnote>
  <w:endnote w:type="continuationSeparator" w:id="0">
    <w:p w:rsidR="00C82758" w:rsidRDefault="00C82758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758" w:rsidRDefault="00C82758" w:rsidP="00987E6F">
      <w:r>
        <w:separator/>
      </w:r>
    </w:p>
  </w:footnote>
  <w:footnote w:type="continuationSeparator" w:id="0">
    <w:p w:rsidR="00C82758" w:rsidRDefault="00C82758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7"/>
  </w:num>
  <w:num w:numId="5">
    <w:abstractNumId w:val="12"/>
  </w:num>
  <w:num w:numId="6">
    <w:abstractNumId w:val="24"/>
  </w:num>
  <w:num w:numId="7">
    <w:abstractNumId w:val="13"/>
  </w:num>
  <w:num w:numId="8">
    <w:abstractNumId w:val="8"/>
  </w:num>
  <w:num w:numId="9">
    <w:abstractNumId w:val="25"/>
  </w:num>
  <w:num w:numId="10">
    <w:abstractNumId w:val="2"/>
  </w:num>
  <w:num w:numId="11">
    <w:abstractNumId w:val="26"/>
  </w:num>
  <w:num w:numId="12">
    <w:abstractNumId w:val="20"/>
  </w:num>
  <w:num w:numId="13">
    <w:abstractNumId w:val="16"/>
  </w:num>
  <w:num w:numId="14">
    <w:abstractNumId w:val="14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6"/>
  </w:num>
  <w:num w:numId="20">
    <w:abstractNumId w:val="19"/>
  </w:num>
  <w:num w:numId="21">
    <w:abstractNumId w:val="15"/>
  </w:num>
  <w:num w:numId="22">
    <w:abstractNumId w:val="9"/>
  </w:num>
  <w:num w:numId="23">
    <w:abstractNumId w:val="10"/>
  </w:num>
  <w:num w:numId="24">
    <w:abstractNumId w:val="22"/>
  </w:num>
  <w:num w:numId="25">
    <w:abstractNumId w:val="11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145C77"/>
    <w:rsid w:val="001B17A7"/>
    <w:rsid w:val="002B3A46"/>
    <w:rsid w:val="00381F6C"/>
    <w:rsid w:val="004B488E"/>
    <w:rsid w:val="004C2656"/>
    <w:rsid w:val="005716C8"/>
    <w:rsid w:val="006946B9"/>
    <w:rsid w:val="007476E4"/>
    <w:rsid w:val="00750685"/>
    <w:rsid w:val="00785F05"/>
    <w:rsid w:val="008B76D6"/>
    <w:rsid w:val="00987E6F"/>
    <w:rsid w:val="0099523C"/>
    <w:rsid w:val="00AE1234"/>
    <w:rsid w:val="00B46AF2"/>
    <w:rsid w:val="00B762E7"/>
    <w:rsid w:val="00C00ADC"/>
    <w:rsid w:val="00C82758"/>
    <w:rsid w:val="00CD67EE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2B25"/>
  <w15:docId w15:val="{68AA0658-367E-4DF4-9E41-514FFCA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2021-03-20T16:31:00Z</cp:lastPrinted>
  <dcterms:created xsi:type="dcterms:W3CDTF">2021-03-20T16:35:00Z</dcterms:created>
  <dcterms:modified xsi:type="dcterms:W3CDTF">2022-10-10T17:42:00Z</dcterms:modified>
</cp:coreProperties>
</file>